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9A11E" w14:textId="63936DA4" w:rsidR="00184CF3" w:rsidRPr="00A61054" w:rsidRDefault="0039359A" w:rsidP="0039359A">
      <w:pPr>
        <w:rPr>
          <w:b/>
          <w:bCs/>
          <w:sz w:val="24"/>
          <w:szCs w:val="24"/>
          <w:u w:val="single"/>
        </w:rPr>
      </w:pPr>
      <w:r w:rsidRPr="00A61054">
        <w:rPr>
          <w:b/>
          <w:bCs/>
          <w:sz w:val="24"/>
          <w:szCs w:val="24"/>
          <w:u w:val="single"/>
        </w:rPr>
        <w:t xml:space="preserve">TRADITIONAL CANDIDATES </w:t>
      </w:r>
      <w:r w:rsidR="00184CF3" w:rsidRPr="00A61054">
        <w:rPr>
          <w:b/>
          <w:bCs/>
          <w:sz w:val="24"/>
          <w:szCs w:val="24"/>
          <w:u w:val="single"/>
        </w:rPr>
        <w:t>(Degree Seeker) a candidate pursuing a four</w:t>
      </w:r>
      <w:r w:rsidR="00F77881" w:rsidRPr="00A61054">
        <w:rPr>
          <w:b/>
          <w:bCs/>
          <w:sz w:val="24"/>
          <w:szCs w:val="24"/>
          <w:u w:val="single"/>
        </w:rPr>
        <w:t>-</w:t>
      </w:r>
      <w:r w:rsidR="00184CF3" w:rsidRPr="00A61054">
        <w:rPr>
          <w:b/>
          <w:bCs/>
          <w:sz w:val="24"/>
          <w:szCs w:val="24"/>
          <w:u w:val="single"/>
        </w:rPr>
        <w:t>year degree</w:t>
      </w:r>
    </w:p>
    <w:p w14:paraId="5346D476" w14:textId="77777777" w:rsidR="00184CF3" w:rsidRPr="00161024" w:rsidRDefault="00184CF3" w:rsidP="00184CF3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161024">
        <w:rPr>
          <w:sz w:val="21"/>
          <w:szCs w:val="21"/>
        </w:rPr>
        <w:t>Completion of the University College Core Curriculum and EDUC 211</w:t>
      </w:r>
    </w:p>
    <w:p w14:paraId="5F51A787" w14:textId="7C04EF40" w:rsidR="00184CF3" w:rsidRPr="00161024" w:rsidRDefault="00184CF3" w:rsidP="00184CF3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161024">
        <w:rPr>
          <w:sz w:val="21"/>
          <w:szCs w:val="21"/>
        </w:rPr>
        <w:t xml:space="preserve">A grade point average of </w:t>
      </w:r>
      <w:r w:rsidR="00EB547B">
        <w:rPr>
          <w:sz w:val="21"/>
          <w:szCs w:val="21"/>
        </w:rPr>
        <w:t>3.0</w:t>
      </w:r>
      <w:r w:rsidRPr="00161024">
        <w:rPr>
          <w:sz w:val="21"/>
          <w:szCs w:val="21"/>
        </w:rPr>
        <w:t xml:space="preserve"> or above </w:t>
      </w:r>
      <w:r w:rsidR="00EB547B">
        <w:rPr>
          <w:sz w:val="21"/>
          <w:szCs w:val="21"/>
        </w:rPr>
        <w:t xml:space="preserve">preferred </w:t>
      </w:r>
      <w:bookmarkStart w:id="0" w:name="_GoBack"/>
      <w:bookmarkEnd w:id="0"/>
      <w:r w:rsidRPr="00161024">
        <w:rPr>
          <w:sz w:val="21"/>
          <w:szCs w:val="21"/>
        </w:rPr>
        <w:t>(Effective July 1, 2017 in response to General Assembly House Bill 97: Mandates for Educator Preparation Programs, a 2.7 overall GPA will be required for admission to all Teacher Education Degree and Licensure Programs.  Effective July 1, 2018, a 2.7 overall GPA will be required for graduating from all Teacher Education Degree and Licensure Program).</w:t>
      </w:r>
    </w:p>
    <w:p w14:paraId="36B6888E" w14:textId="77777777" w:rsidR="00184CF3" w:rsidRPr="00161024" w:rsidRDefault="00184CF3" w:rsidP="00184CF3">
      <w:pPr>
        <w:pStyle w:val="ListParagraph"/>
        <w:numPr>
          <w:ilvl w:val="0"/>
          <w:numId w:val="4"/>
        </w:numPr>
        <w:rPr>
          <w:b/>
          <w:bCs/>
          <w:sz w:val="21"/>
          <w:szCs w:val="21"/>
        </w:rPr>
      </w:pPr>
      <w:r w:rsidRPr="00161024">
        <w:rPr>
          <w:sz w:val="21"/>
          <w:szCs w:val="21"/>
        </w:rPr>
        <w:t>Must take and pass the </w:t>
      </w:r>
      <w:r w:rsidRPr="00161024">
        <w:rPr>
          <w:b/>
          <w:bCs/>
          <w:sz w:val="21"/>
          <w:szCs w:val="21"/>
        </w:rPr>
        <w:t>PRAXIS CORE ACADEMIC SKILLS FOR EDUCATORS TEST</w:t>
      </w:r>
      <w:r w:rsidRPr="00161024">
        <w:rPr>
          <w:sz w:val="21"/>
          <w:szCs w:val="21"/>
        </w:rPr>
        <w:t> </w:t>
      </w:r>
      <w:r w:rsidRPr="00161024">
        <w:rPr>
          <w:b/>
          <w:sz w:val="21"/>
          <w:szCs w:val="21"/>
        </w:rPr>
        <w:t xml:space="preserve">(C.A.S.E.) </w:t>
      </w:r>
      <w:r w:rsidRPr="00161024">
        <w:rPr>
          <w:sz w:val="21"/>
          <w:szCs w:val="21"/>
        </w:rPr>
        <w:t>with the following scores -  </w:t>
      </w:r>
      <w:r w:rsidRPr="00161024">
        <w:rPr>
          <w:b/>
          <w:bCs/>
          <w:sz w:val="21"/>
          <w:szCs w:val="21"/>
        </w:rPr>
        <w:t>Reading (156), Writing (162) and Math (150).  </w:t>
      </w:r>
    </w:p>
    <w:p w14:paraId="6587D4FA" w14:textId="77777777" w:rsidR="00184CF3" w:rsidRPr="00161024" w:rsidRDefault="00184CF3" w:rsidP="00184CF3">
      <w:pPr>
        <w:pStyle w:val="ListParagraph"/>
        <w:numPr>
          <w:ilvl w:val="1"/>
          <w:numId w:val="4"/>
        </w:numPr>
        <w:rPr>
          <w:bCs/>
          <w:sz w:val="21"/>
          <w:szCs w:val="21"/>
        </w:rPr>
      </w:pPr>
      <w:r w:rsidRPr="00161024">
        <w:rPr>
          <w:bCs/>
          <w:sz w:val="21"/>
          <w:szCs w:val="21"/>
        </w:rPr>
        <w:t xml:space="preserve">Individuals with a composite </w:t>
      </w:r>
      <w:r w:rsidRPr="00161024">
        <w:rPr>
          <w:b/>
          <w:bCs/>
          <w:sz w:val="21"/>
          <w:szCs w:val="21"/>
        </w:rPr>
        <w:t>score of 468</w:t>
      </w:r>
      <w:r w:rsidRPr="00161024">
        <w:rPr>
          <w:bCs/>
          <w:sz w:val="21"/>
          <w:szCs w:val="21"/>
        </w:rPr>
        <w:t xml:space="preserve"> on Praxis I Core Academic Skills for Educators: Reading, Writing and Mathematics shall be deemed to have satisfied this requirement. </w:t>
      </w:r>
    </w:p>
    <w:p w14:paraId="09E65E11" w14:textId="77777777" w:rsidR="00184CF3" w:rsidRPr="00161024" w:rsidRDefault="00184CF3" w:rsidP="00184CF3">
      <w:pPr>
        <w:pStyle w:val="ListParagraph"/>
        <w:numPr>
          <w:ilvl w:val="1"/>
          <w:numId w:val="4"/>
        </w:numPr>
        <w:rPr>
          <w:bCs/>
          <w:sz w:val="21"/>
          <w:szCs w:val="21"/>
        </w:rPr>
      </w:pPr>
      <w:r w:rsidRPr="00161024">
        <w:rPr>
          <w:bCs/>
          <w:sz w:val="21"/>
          <w:szCs w:val="21"/>
        </w:rPr>
        <w:t>However, individuals with a total </w:t>
      </w:r>
      <w:r w:rsidRPr="00161024">
        <w:rPr>
          <w:b/>
          <w:bCs/>
          <w:sz w:val="21"/>
          <w:szCs w:val="21"/>
        </w:rPr>
        <w:t>SAT® score of 1100</w:t>
      </w:r>
      <w:r w:rsidRPr="00161024">
        <w:rPr>
          <w:bCs/>
          <w:sz w:val="21"/>
          <w:szCs w:val="21"/>
        </w:rPr>
        <w:t xml:space="preserve"> (Verbal and Quantitative only) are exempt from Core testing requirements for an educator preparation program administration.</w:t>
      </w:r>
    </w:p>
    <w:p w14:paraId="7BB99F06" w14:textId="3B10ADBF" w:rsidR="00184CF3" w:rsidRPr="00161024" w:rsidRDefault="00184CF3" w:rsidP="00184CF3">
      <w:pPr>
        <w:pStyle w:val="ListParagraph"/>
        <w:numPr>
          <w:ilvl w:val="2"/>
          <w:numId w:val="4"/>
        </w:numPr>
        <w:rPr>
          <w:bCs/>
          <w:sz w:val="21"/>
          <w:szCs w:val="21"/>
        </w:rPr>
      </w:pPr>
      <w:r w:rsidRPr="00161024">
        <w:rPr>
          <w:bCs/>
          <w:sz w:val="21"/>
          <w:szCs w:val="21"/>
        </w:rPr>
        <w:t xml:space="preserve">Individuals with a total </w:t>
      </w:r>
      <w:r w:rsidRPr="00161024">
        <w:rPr>
          <w:b/>
          <w:bCs/>
          <w:sz w:val="21"/>
          <w:szCs w:val="21"/>
        </w:rPr>
        <w:t>SAT score of less than 1100</w:t>
      </w:r>
      <w:r w:rsidRPr="00161024">
        <w:rPr>
          <w:bCs/>
          <w:sz w:val="21"/>
          <w:szCs w:val="21"/>
        </w:rPr>
        <w:t xml:space="preserve"> (Verbal and Quantitative only), but a score of at least 550 on the Verbal test, are exempt from the Core tests in Reading and Writing for educator preparation program admission.</w:t>
      </w:r>
    </w:p>
    <w:p w14:paraId="1B1694B4" w14:textId="77777777" w:rsidR="00184CF3" w:rsidRPr="00161024" w:rsidRDefault="00184CF3" w:rsidP="00184CF3">
      <w:pPr>
        <w:pStyle w:val="ListParagraph"/>
        <w:numPr>
          <w:ilvl w:val="2"/>
          <w:numId w:val="4"/>
        </w:numPr>
        <w:rPr>
          <w:bCs/>
          <w:sz w:val="21"/>
          <w:szCs w:val="21"/>
        </w:rPr>
      </w:pPr>
      <w:r w:rsidRPr="00161024">
        <w:rPr>
          <w:bCs/>
          <w:sz w:val="21"/>
          <w:szCs w:val="21"/>
        </w:rPr>
        <w:t xml:space="preserve">Individuals with a total </w:t>
      </w:r>
      <w:r w:rsidRPr="00161024">
        <w:rPr>
          <w:b/>
          <w:bCs/>
          <w:sz w:val="21"/>
          <w:szCs w:val="21"/>
        </w:rPr>
        <w:t>SAT score of less than 1100</w:t>
      </w:r>
      <w:r w:rsidRPr="00161024">
        <w:rPr>
          <w:bCs/>
          <w:sz w:val="21"/>
          <w:szCs w:val="21"/>
        </w:rPr>
        <w:t xml:space="preserve"> (Verbal and Quantitative only), but a score of at </w:t>
      </w:r>
      <w:r w:rsidRPr="00161024">
        <w:rPr>
          <w:b/>
          <w:bCs/>
          <w:sz w:val="21"/>
          <w:szCs w:val="21"/>
        </w:rPr>
        <w:t>least 550</w:t>
      </w:r>
      <w:r w:rsidRPr="00161024">
        <w:rPr>
          <w:bCs/>
          <w:sz w:val="21"/>
          <w:szCs w:val="21"/>
        </w:rPr>
        <w:t xml:space="preserve"> on the Math test, are exempt from the Core test in Mathematics for educator preparation program admission.</w:t>
      </w:r>
    </w:p>
    <w:p w14:paraId="4C538A0B" w14:textId="77777777" w:rsidR="00184CF3" w:rsidRPr="00161024" w:rsidRDefault="00184CF3" w:rsidP="00184CF3">
      <w:pPr>
        <w:pStyle w:val="ListParagraph"/>
        <w:numPr>
          <w:ilvl w:val="0"/>
          <w:numId w:val="4"/>
        </w:numPr>
        <w:rPr>
          <w:bCs/>
          <w:sz w:val="21"/>
          <w:szCs w:val="21"/>
        </w:rPr>
      </w:pPr>
      <w:r w:rsidRPr="00161024">
        <w:rPr>
          <w:bCs/>
          <w:sz w:val="21"/>
          <w:szCs w:val="21"/>
        </w:rPr>
        <w:t>Likewise, individuals with a composite </w:t>
      </w:r>
      <w:r w:rsidRPr="00161024">
        <w:rPr>
          <w:b/>
          <w:bCs/>
          <w:sz w:val="21"/>
          <w:szCs w:val="21"/>
        </w:rPr>
        <w:t>ACT® score of 24</w:t>
      </w:r>
      <w:r w:rsidRPr="00161024">
        <w:rPr>
          <w:bCs/>
          <w:sz w:val="21"/>
          <w:szCs w:val="21"/>
        </w:rPr>
        <w:t xml:space="preserve"> are exempt from Core testing requirements for educator preparation program admission.</w:t>
      </w:r>
    </w:p>
    <w:p w14:paraId="3BE39ADE" w14:textId="65B3784F" w:rsidR="00184CF3" w:rsidRPr="00161024" w:rsidRDefault="00184CF3" w:rsidP="00184CF3">
      <w:pPr>
        <w:pStyle w:val="ListParagraph"/>
        <w:numPr>
          <w:ilvl w:val="1"/>
          <w:numId w:val="4"/>
        </w:numPr>
        <w:rPr>
          <w:bCs/>
          <w:sz w:val="21"/>
          <w:szCs w:val="21"/>
        </w:rPr>
      </w:pPr>
      <w:r w:rsidRPr="00161024">
        <w:rPr>
          <w:bCs/>
          <w:sz w:val="21"/>
          <w:szCs w:val="21"/>
        </w:rPr>
        <w:t xml:space="preserve">Individuals with a composite </w:t>
      </w:r>
      <w:r w:rsidRPr="00161024">
        <w:rPr>
          <w:b/>
          <w:bCs/>
          <w:sz w:val="21"/>
          <w:szCs w:val="21"/>
        </w:rPr>
        <w:t>ACT score of</w:t>
      </w:r>
      <w:r w:rsidRPr="00161024">
        <w:rPr>
          <w:bCs/>
          <w:sz w:val="21"/>
          <w:szCs w:val="21"/>
        </w:rPr>
        <w:t xml:space="preserve"> </w:t>
      </w:r>
      <w:r w:rsidRPr="00161024">
        <w:rPr>
          <w:b/>
          <w:bCs/>
          <w:sz w:val="21"/>
          <w:szCs w:val="21"/>
        </w:rPr>
        <w:t>less than 24,</w:t>
      </w:r>
      <w:r w:rsidRPr="00161024">
        <w:rPr>
          <w:bCs/>
          <w:sz w:val="21"/>
          <w:szCs w:val="21"/>
        </w:rPr>
        <w:t xml:space="preserve"> but with a score of at least 24 on the English test, are exempt from the Core tests in Reading and Writing for educator preparation program admission.</w:t>
      </w:r>
    </w:p>
    <w:p w14:paraId="25B90C71" w14:textId="77777777" w:rsidR="00184CF3" w:rsidRPr="00161024" w:rsidRDefault="00184CF3" w:rsidP="00184CF3">
      <w:pPr>
        <w:pStyle w:val="ListParagraph"/>
        <w:numPr>
          <w:ilvl w:val="1"/>
          <w:numId w:val="4"/>
        </w:numPr>
        <w:rPr>
          <w:bCs/>
          <w:sz w:val="21"/>
          <w:szCs w:val="21"/>
        </w:rPr>
      </w:pPr>
      <w:r w:rsidRPr="00161024">
        <w:rPr>
          <w:bCs/>
          <w:sz w:val="21"/>
          <w:szCs w:val="21"/>
        </w:rPr>
        <w:t xml:space="preserve">Individuals with a composite </w:t>
      </w:r>
      <w:r w:rsidRPr="00161024">
        <w:rPr>
          <w:b/>
          <w:bCs/>
          <w:sz w:val="21"/>
          <w:szCs w:val="21"/>
        </w:rPr>
        <w:t>ACT score of less than 24</w:t>
      </w:r>
      <w:r w:rsidRPr="00161024">
        <w:rPr>
          <w:bCs/>
          <w:sz w:val="21"/>
          <w:szCs w:val="21"/>
        </w:rPr>
        <w:t>, but a score of at least 24 on the Math test, are exempt from the Core test in Mathematics for educator preparation program admission.</w:t>
      </w:r>
    </w:p>
    <w:p w14:paraId="1C40BCD9" w14:textId="43AD2572" w:rsidR="00184CF3" w:rsidRPr="00161024" w:rsidRDefault="00184CF3" w:rsidP="00184CF3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161024">
        <w:rPr>
          <w:sz w:val="21"/>
          <w:szCs w:val="21"/>
        </w:rPr>
        <w:t>Submission of Teacher Education Application to include the clearance form</w:t>
      </w:r>
      <w:r w:rsidR="00432911" w:rsidRPr="00161024">
        <w:rPr>
          <w:sz w:val="21"/>
          <w:szCs w:val="21"/>
        </w:rPr>
        <w:t xml:space="preserve">, </w:t>
      </w:r>
      <w:r w:rsidRPr="00161024">
        <w:rPr>
          <w:sz w:val="21"/>
          <w:szCs w:val="21"/>
        </w:rPr>
        <w:t>personal security data (background check form)</w:t>
      </w:r>
      <w:r w:rsidR="008E2CBB" w:rsidRPr="00161024">
        <w:rPr>
          <w:sz w:val="21"/>
          <w:szCs w:val="21"/>
        </w:rPr>
        <w:t xml:space="preserve">, </w:t>
      </w:r>
      <w:r w:rsidR="00432911" w:rsidRPr="00161024">
        <w:rPr>
          <w:sz w:val="21"/>
          <w:szCs w:val="21"/>
        </w:rPr>
        <w:t>completed Early Disposition Inventory</w:t>
      </w:r>
      <w:r w:rsidR="00C406A6" w:rsidRPr="00161024">
        <w:rPr>
          <w:sz w:val="21"/>
          <w:szCs w:val="21"/>
        </w:rPr>
        <w:t xml:space="preserve"> Form </w:t>
      </w:r>
      <w:r w:rsidR="00432911" w:rsidRPr="00161024">
        <w:rPr>
          <w:sz w:val="21"/>
          <w:szCs w:val="21"/>
        </w:rPr>
        <w:t xml:space="preserve">and </w:t>
      </w:r>
      <w:r w:rsidR="00C406A6" w:rsidRPr="00161024">
        <w:rPr>
          <w:sz w:val="21"/>
          <w:szCs w:val="21"/>
        </w:rPr>
        <w:t xml:space="preserve">completed </w:t>
      </w:r>
      <w:r w:rsidR="00432911" w:rsidRPr="00161024">
        <w:rPr>
          <w:sz w:val="21"/>
          <w:szCs w:val="21"/>
        </w:rPr>
        <w:t xml:space="preserve">Field Experience Timesheet Form for field experience courses. </w:t>
      </w:r>
    </w:p>
    <w:p w14:paraId="5637B527" w14:textId="77777777" w:rsidR="00184CF3" w:rsidRPr="00161024" w:rsidRDefault="00184CF3" w:rsidP="00184CF3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161024">
        <w:rPr>
          <w:sz w:val="21"/>
          <w:szCs w:val="21"/>
        </w:rPr>
        <w:t>Have been recommended to and approved by the Teacher Education Committee through the department chair of the area through which licensure is sought.</w:t>
      </w:r>
    </w:p>
    <w:p w14:paraId="322D6D2A" w14:textId="29D53B17" w:rsidR="00184CF3" w:rsidRPr="00161024" w:rsidRDefault="00184CF3" w:rsidP="00184CF3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161024">
        <w:rPr>
          <w:sz w:val="21"/>
          <w:szCs w:val="21"/>
        </w:rPr>
        <w:t>Have undergone an interview as outlined by their major department. </w:t>
      </w:r>
    </w:p>
    <w:p w14:paraId="7448B652" w14:textId="2228B64F" w:rsidR="00184CF3" w:rsidRPr="00161024" w:rsidRDefault="00184CF3" w:rsidP="00184CF3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161024">
        <w:rPr>
          <w:sz w:val="21"/>
          <w:szCs w:val="21"/>
        </w:rPr>
        <w:t>Please note, that each department have specific deadlines and guidelines.</w:t>
      </w:r>
    </w:p>
    <w:tbl>
      <w:tblPr>
        <w:tblStyle w:val="TableGrid"/>
        <w:tblW w:w="11364" w:type="dxa"/>
        <w:tblInd w:w="-815" w:type="dxa"/>
        <w:tblLook w:val="04A0" w:firstRow="1" w:lastRow="0" w:firstColumn="1" w:lastColumn="0" w:noHBand="0" w:noVBand="1"/>
      </w:tblPr>
      <w:tblGrid>
        <w:gridCol w:w="2649"/>
        <w:gridCol w:w="5677"/>
        <w:gridCol w:w="1608"/>
        <w:gridCol w:w="1430"/>
      </w:tblGrid>
      <w:tr w:rsidR="00161024" w:rsidRPr="00F77881" w14:paraId="4D22067F" w14:textId="77777777" w:rsidTr="0001445B">
        <w:trPr>
          <w:trHeight w:val="254"/>
        </w:trPr>
        <w:tc>
          <w:tcPr>
            <w:tcW w:w="2649" w:type="dxa"/>
            <w:shd w:val="clear" w:color="auto" w:fill="D9E2F3" w:themeFill="accent1" w:themeFillTint="33"/>
            <w:vAlign w:val="center"/>
          </w:tcPr>
          <w:p w14:paraId="66B5F4E2" w14:textId="77777777" w:rsidR="00161024" w:rsidRPr="00F77881" w:rsidRDefault="00161024" w:rsidP="005F6696">
            <w:pPr>
              <w:rPr>
                <w:b/>
              </w:rPr>
            </w:pPr>
            <w:r w:rsidRPr="00F77881">
              <w:rPr>
                <w:b/>
              </w:rPr>
              <w:t>Department</w:t>
            </w:r>
          </w:p>
        </w:tc>
        <w:tc>
          <w:tcPr>
            <w:tcW w:w="5677" w:type="dxa"/>
            <w:shd w:val="clear" w:color="auto" w:fill="D9E2F3" w:themeFill="accent1" w:themeFillTint="33"/>
            <w:vAlign w:val="center"/>
          </w:tcPr>
          <w:p w14:paraId="6D80647B" w14:textId="77777777" w:rsidR="00161024" w:rsidRPr="00F77881" w:rsidRDefault="00161024" w:rsidP="005F6696">
            <w:pPr>
              <w:rPr>
                <w:b/>
              </w:rPr>
            </w:pPr>
            <w:r w:rsidRPr="00F77881">
              <w:rPr>
                <w:b/>
              </w:rPr>
              <w:t>Contact Person</w:t>
            </w:r>
          </w:p>
        </w:tc>
        <w:tc>
          <w:tcPr>
            <w:tcW w:w="1608" w:type="dxa"/>
            <w:shd w:val="clear" w:color="auto" w:fill="D9E2F3" w:themeFill="accent1" w:themeFillTint="33"/>
            <w:vAlign w:val="center"/>
          </w:tcPr>
          <w:p w14:paraId="719BAF7A" w14:textId="77777777" w:rsidR="00161024" w:rsidRPr="00F77881" w:rsidRDefault="00161024" w:rsidP="005F6696">
            <w:pPr>
              <w:rPr>
                <w:b/>
              </w:rPr>
            </w:pPr>
            <w:r w:rsidRPr="00F77881">
              <w:rPr>
                <w:b/>
              </w:rPr>
              <w:t>Phone Number</w:t>
            </w:r>
          </w:p>
        </w:tc>
        <w:tc>
          <w:tcPr>
            <w:tcW w:w="1430" w:type="dxa"/>
            <w:shd w:val="clear" w:color="auto" w:fill="D9E2F3" w:themeFill="accent1" w:themeFillTint="33"/>
            <w:vAlign w:val="center"/>
          </w:tcPr>
          <w:p w14:paraId="7CA7D1A1" w14:textId="77777777" w:rsidR="00161024" w:rsidRPr="00F77881" w:rsidRDefault="00161024" w:rsidP="005F6696">
            <w:pPr>
              <w:rPr>
                <w:b/>
              </w:rPr>
            </w:pPr>
            <w:r w:rsidRPr="00F77881">
              <w:rPr>
                <w:b/>
              </w:rPr>
              <w:t>Location</w:t>
            </w:r>
          </w:p>
        </w:tc>
      </w:tr>
      <w:tr w:rsidR="00161024" w:rsidRPr="00CF41E7" w14:paraId="2D42DDB1" w14:textId="77777777" w:rsidTr="0001445B">
        <w:trPr>
          <w:trHeight w:val="565"/>
        </w:trPr>
        <w:tc>
          <w:tcPr>
            <w:tcW w:w="2649" w:type="dxa"/>
            <w:vAlign w:val="center"/>
          </w:tcPr>
          <w:p w14:paraId="2D601D77" w14:textId="62F1C12C" w:rsidR="00161024" w:rsidRPr="00CF41E7" w:rsidRDefault="00161024" w:rsidP="005F6696">
            <w:pPr>
              <w:rPr>
                <w:b/>
                <w:bCs/>
                <w:color w:val="2E74B5" w:themeColor="accent5" w:themeShade="BF"/>
                <w:sz w:val="20"/>
                <w:szCs w:val="20"/>
              </w:rPr>
            </w:pPr>
            <w:r w:rsidRPr="00CF41E7">
              <w:rPr>
                <w:b/>
                <w:bCs/>
                <w:color w:val="2E74B5" w:themeColor="accent5" w:themeShade="BF"/>
                <w:sz w:val="20"/>
                <w:szCs w:val="20"/>
              </w:rPr>
              <w:t>EEMRSE – EARLY CHILDHOOD, ELEMENTARY, MIDDLE GRADES READING &amp; SPECIAL EDUCATION</w:t>
            </w:r>
          </w:p>
          <w:p w14:paraId="5B572436" w14:textId="77777777" w:rsidR="00161024" w:rsidRPr="00CF41E7" w:rsidRDefault="00161024" w:rsidP="005F6696">
            <w:pPr>
              <w:rPr>
                <w:b/>
                <w:sz w:val="20"/>
                <w:szCs w:val="20"/>
              </w:rPr>
            </w:pPr>
            <w:r w:rsidRPr="00CF41E7">
              <w:rPr>
                <w:b/>
                <w:sz w:val="20"/>
                <w:szCs w:val="20"/>
              </w:rPr>
              <w:t>BK-12</w:t>
            </w:r>
          </w:p>
        </w:tc>
        <w:tc>
          <w:tcPr>
            <w:tcW w:w="5677" w:type="dxa"/>
            <w:vAlign w:val="center"/>
          </w:tcPr>
          <w:p w14:paraId="39151E7C" w14:textId="77777777" w:rsidR="00161024" w:rsidRPr="0094596E" w:rsidRDefault="00161024" w:rsidP="005F669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66" w:hanging="180"/>
              <w:rPr>
                <w:b/>
                <w:bCs/>
                <w:sz w:val="20"/>
                <w:szCs w:val="20"/>
              </w:rPr>
            </w:pPr>
            <w:r w:rsidRPr="0094596E">
              <w:rPr>
                <w:b/>
                <w:bCs/>
                <w:sz w:val="20"/>
                <w:szCs w:val="20"/>
              </w:rPr>
              <w:t>Dr. Tanya Hudson (Dept. Chair) – thudsn8@uncfsu.edu</w:t>
            </w:r>
          </w:p>
          <w:p w14:paraId="7A3F3FFA" w14:textId="77777777" w:rsidR="00161024" w:rsidRPr="0094596E" w:rsidRDefault="00161024" w:rsidP="005F669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66" w:hanging="180"/>
              <w:rPr>
                <w:b/>
                <w:bCs/>
                <w:sz w:val="20"/>
                <w:szCs w:val="20"/>
              </w:rPr>
            </w:pPr>
            <w:r w:rsidRPr="0094596E">
              <w:rPr>
                <w:b/>
                <w:bCs/>
                <w:sz w:val="20"/>
                <w:szCs w:val="20"/>
              </w:rPr>
              <w:t>Dr. Nicole Anthony (Asst. Chair) – nanthony1@uncfsu.edu</w:t>
            </w:r>
          </w:p>
          <w:p w14:paraId="67865E37" w14:textId="77777777" w:rsidR="00161024" w:rsidRPr="0094596E" w:rsidRDefault="00161024" w:rsidP="005F669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66" w:hanging="180"/>
              <w:rPr>
                <w:sz w:val="20"/>
                <w:szCs w:val="20"/>
              </w:rPr>
            </w:pPr>
            <w:r w:rsidRPr="0094596E">
              <w:rPr>
                <w:sz w:val="20"/>
                <w:szCs w:val="20"/>
              </w:rPr>
              <w:t>Mrs. Dianna Wesley (Admin) – dwesley@uncfsu.edu</w:t>
            </w:r>
          </w:p>
          <w:p w14:paraId="28D962B0" w14:textId="77777777" w:rsidR="00161024" w:rsidRPr="0094596E" w:rsidRDefault="00161024" w:rsidP="005F669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66" w:hanging="180"/>
              <w:rPr>
                <w:sz w:val="20"/>
                <w:szCs w:val="20"/>
              </w:rPr>
            </w:pPr>
            <w:r w:rsidRPr="0094596E">
              <w:rPr>
                <w:sz w:val="20"/>
                <w:szCs w:val="20"/>
              </w:rPr>
              <w:t>Mrs. Debra Brown (Admin) -ddbrown@uncfsu.edu</w:t>
            </w:r>
          </w:p>
        </w:tc>
        <w:tc>
          <w:tcPr>
            <w:tcW w:w="1608" w:type="dxa"/>
            <w:vAlign w:val="center"/>
          </w:tcPr>
          <w:p w14:paraId="36ABB355" w14:textId="77777777" w:rsidR="00161024" w:rsidRPr="00CF41E7" w:rsidRDefault="00161024" w:rsidP="005F6696">
            <w:pPr>
              <w:rPr>
                <w:sz w:val="20"/>
                <w:szCs w:val="20"/>
              </w:rPr>
            </w:pPr>
            <w:r w:rsidRPr="00CF41E7">
              <w:rPr>
                <w:sz w:val="20"/>
                <w:szCs w:val="20"/>
              </w:rPr>
              <w:t>910-672-1459</w:t>
            </w:r>
          </w:p>
          <w:p w14:paraId="740BA2F6" w14:textId="77777777" w:rsidR="00161024" w:rsidRPr="00CF41E7" w:rsidRDefault="00161024" w:rsidP="005F6696">
            <w:pPr>
              <w:rPr>
                <w:sz w:val="20"/>
                <w:szCs w:val="20"/>
              </w:rPr>
            </w:pPr>
            <w:r w:rsidRPr="00CF41E7">
              <w:rPr>
                <w:sz w:val="20"/>
                <w:szCs w:val="20"/>
              </w:rPr>
              <w:t>910-672-1272</w:t>
            </w:r>
          </w:p>
          <w:p w14:paraId="7D77A476" w14:textId="77777777" w:rsidR="00161024" w:rsidRPr="00CF41E7" w:rsidRDefault="00161024" w:rsidP="005F6696">
            <w:pPr>
              <w:rPr>
                <w:sz w:val="20"/>
                <w:szCs w:val="20"/>
              </w:rPr>
            </w:pPr>
            <w:r w:rsidRPr="00CF41E7">
              <w:rPr>
                <w:sz w:val="20"/>
                <w:szCs w:val="20"/>
              </w:rPr>
              <w:t>910-672-1538</w:t>
            </w:r>
          </w:p>
          <w:p w14:paraId="71ED2EB0" w14:textId="77777777" w:rsidR="00161024" w:rsidRPr="00CF41E7" w:rsidRDefault="00161024" w:rsidP="005F6696">
            <w:pPr>
              <w:rPr>
                <w:sz w:val="20"/>
                <w:szCs w:val="20"/>
              </w:rPr>
            </w:pPr>
            <w:r w:rsidRPr="00CF41E7">
              <w:rPr>
                <w:sz w:val="20"/>
                <w:szCs w:val="20"/>
              </w:rPr>
              <w:t>910-672-1181</w:t>
            </w:r>
          </w:p>
        </w:tc>
        <w:tc>
          <w:tcPr>
            <w:tcW w:w="1430" w:type="dxa"/>
            <w:vAlign w:val="center"/>
          </w:tcPr>
          <w:p w14:paraId="3324FE77" w14:textId="6F8C97D0" w:rsidR="00161024" w:rsidRPr="00CF41E7" w:rsidRDefault="00161024" w:rsidP="005F6696">
            <w:pPr>
              <w:rPr>
                <w:sz w:val="20"/>
                <w:szCs w:val="20"/>
              </w:rPr>
            </w:pPr>
            <w:r w:rsidRPr="00CF41E7">
              <w:rPr>
                <w:sz w:val="20"/>
                <w:szCs w:val="20"/>
              </w:rPr>
              <w:t>Butler Bldg. Room 388/347/344</w:t>
            </w:r>
          </w:p>
        </w:tc>
      </w:tr>
      <w:tr w:rsidR="00161024" w:rsidRPr="00CF41E7" w14:paraId="60E51839" w14:textId="77777777" w:rsidTr="0001445B">
        <w:trPr>
          <w:trHeight w:val="240"/>
        </w:trPr>
        <w:tc>
          <w:tcPr>
            <w:tcW w:w="2649" w:type="dxa"/>
            <w:vAlign w:val="center"/>
          </w:tcPr>
          <w:p w14:paraId="793FAD8F" w14:textId="77777777" w:rsidR="00161024" w:rsidRPr="00CF41E7" w:rsidRDefault="00161024" w:rsidP="005F6696">
            <w:pPr>
              <w:rPr>
                <w:b/>
                <w:color w:val="2E74B5" w:themeColor="accent5" w:themeShade="BF"/>
                <w:sz w:val="20"/>
                <w:szCs w:val="20"/>
              </w:rPr>
            </w:pPr>
            <w:r w:rsidRPr="00CF41E7">
              <w:rPr>
                <w:b/>
                <w:color w:val="2E74B5" w:themeColor="accent5" w:themeShade="BF"/>
                <w:sz w:val="20"/>
                <w:szCs w:val="20"/>
              </w:rPr>
              <w:t>HPSE – DEPT. OF HEALTH, PHYSICAL &amp; SECONDARY EDUCATION</w:t>
            </w:r>
          </w:p>
          <w:p w14:paraId="1AF2341F" w14:textId="77777777" w:rsidR="00161024" w:rsidRPr="00CF41E7" w:rsidRDefault="00161024" w:rsidP="005F6696">
            <w:pPr>
              <w:rPr>
                <w:b/>
                <w:sz w:val="20"/>
                <w:szCs w:val="20"/>
              </w:rPr>
            </w:pPr>
            <w:r w:rsidRPr="00CF41E7">
              <w:rPr>
                <w:b/>
                <w:sz w:val="20"/>
                <w:szCs w:val="20"/>
              </w:rPr>
              <w:t>K-12</w:t>
            </w:r>
          </w:p>
        </w:tc>
        <w:tc>
          <w:tcPr>
            <w:tcW w:w="5677" w:type="dxa"/>
            <w:vAlign w:val="center"/>
          </w:tcPr>
          <w:p w14:paraId="58C655C3" w14:textId="77777777" w:rsidR="00161024" w:rsidRPr="0094596E" w:rsidRDefault="00161024" w:rsidP="005F669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66" w:hanging="180"/>
              <w:rPr>
                <w:b/>
                <w:bCs/>
                <w:sz w:val="20"/>
                <w:szCs w:val="20"/>
              </w:rPr>
            </w:pPr>
            <w:r w:rsidRPr="0094596E">
              <w:rPr>
                <w:b/>
                <w:bCs/>
                <w:sz w:val="20"/>
                <w:szCs w:val="20"/>
              </w:rPr>
              <w:t>Dr. Peter Eley (Dept. Chair) – peley@uncfsu.edu</w:t>
            </w:r>
          </w:p>
          <w:p w14:paraId="4BD50523" w14:textId="77777777" w:rsidR="00161024" w:rsidRPr="0094596E" w:rsidRDefault="00161024" w:rsidP="005F669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66" w:hanging="180"/>
              <w:rPr>
                <w:b/>
                <w:bCs/>
                <w:sz w:val="20"/>
                <w:szCs w:val="20"/>
              </w:rPr>
            </w:pPr>
            <w:r w:rsidRPr="0094596E">
              <w:rPr>
                <w:b/>
                <w:bCs/>
                <w:sz w:val="20"/>
                <w:szCs w:val="20"/>
              </w:rPr>
              <w:t>Dr. Jessica Goodman (Asst. Chair)- jgoodman1@uncfsu.edu</w:t>
            </w:r>
          </w:p>
          <w:p w14:paraId="4632EDC0" w14:textId="77777777" w:rsidR="00161024" w:rsidRPr="0094596E" w:rsidRDefault="00161024" w:rsidP="005F669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66" w:hanging="180"/>
              <w:rPr>
                <w:sz w:val="20"/>
                <w:szCs w:val="20"/>
              </w:rPr>
            </w:pPr>
            <w:r w:rsidRPr="0094596E">
              <w:rPr>
                <w:sz w:val="20"/>
                <w:szCs w:val="20"/>
              </w:rPr>
              <w:t>Mrs. Teresita Bravo (Admin) – tbravo@uncfsu.edu</w:t>
            </w:r>
          </w:p>
        </w:tc>
        <w:tc>
          <w:tcPr>
            <w:tcW w:w="1608" w:type="dxa"/>
            <w:vAlign w:val="center"/>
          </w:tcPr>
          <w:p w14:paraId="2AD7B704" w14:textId="77777777" w:rsidR="00161024" w:rsidRPr="00CF41E7" w:rsidRDefault="00161024" w:rsidP="005F6696">
            <w:pPr>
              <w:rPr>
                <w:sz w:val="20"/>
                <w:szCs w:val="20"/>
              </w:rPr>
            </w:pPr>
            <w:r w:rsidRPr="00CF41E7">
              <w:rPr>
                <w:sz w:val="20"/>
                <w:szCs w:val="20"/>
              </w:rPr>
              <w:t>910-672-1183</w:t>
            </w:r>
          </w:p>
          <w:p w14:paraId="3094ED3F" w14:textId="77777777" w:rsidR="00161024" w:rsidRPr="00CF41E7" w:rsidRDefault="00161024" w:rsidP="005F6696">
            <w:pPr>
              <w:rPr>
                <w:sz w:val="20"/>
                <w:szCs w:val="20"/>
              </w:rPr>
            </w:pPr>
            <w:r w:rsidRPr="00CF41E7">
              <w:rPr>
                <w:sz w:val="20"/>
                <w:szCs w:val="20"/>
              </w:rPr>
              <w:t>910-672-2559</w:t>
            </w:r>
          </w:p>
          <w:p w14:paraId="5C5E46BA" w14:textId="77777777" w:rsidR="00161024" w:rsidRPr="00CF41E7" w:rsidRDefault="00161024" w:rsidP="005F6696">
            <w:pPr>
              <w:rPr>
                <w:sz w:val="20"/>
                <w:szCs w:val="20"/>
              </w:rPr>
            </w:pPr>
            <w:r w:rsidRPr="00CF41E7">
              <w:rPr>
                <w:sz w:val="20"/>
                <w:szCs w:val="20"/>
              </w:rPr>
              <w:t>910-672-1115</w:t>
            </w:r>
          </w:p>
        </w:tc>
        <w:tc>
          <w:tcPr>
            <w:tcW w:w="1430" w:type="dxa"/>
            <w:vAlign w:val="center"/>
          </w:tcPr>
          <w:p w14:paraId="27CC3A4B" w14:textId="77777777" w:rsidR="00161024" w:rsidRPr="00CF41E7" w:rsidRDefault="00161024" w:rsidP="005F6696">
            <w:pPr>
              <w:rPr>
                <w:sz w:val="20"/>
                <w:szCs w:val="20"/>
              </w:rPr>
            </w:pPr>
            <w:r w:rsidRPr="00CF41E7">
              <w:rPr>
                <w:sz w:val="20"/>
                <w:szCs w:val="20"/>
              </w:rPr>
              <w:t>Capel Arena (HPEC) Bldg. Room 331/ 318</w:t>
            </w:r>
          </w:p>
        </w:tc>
      </w:tr>
      <w:tr w:rsidR="00161024" w:rsidRPr="00CF41E7" w14:paraId="4B8FCC7A" w14:textId="77777777" w:rsidTr="0001445B">
        <w:trPr>
          <w:trHeight w:val="254"/>
        </w:trPr>
        <w:tc>
          <w:tcPr>
            <w:tcW w:w="2649" w:type="dxa"/>
            <w:vAlign w:val="center"/>
          </w:tcPr>
          <w:p w14:paraId="4FDF3FC3" w14:textId="77777777" w:rsidR="00161024" w:rsidRPr="00CF41E7" w:rsidRDefault="00161024" w:rsidP="005F6696">
            <w:pPr>
              <w:rPr>
                <w:b/>
                <w:sz w:val="20"/>
                <w:szCs w:val="20"/>
              </w:rPr>
            </w:pPr>
            <w:r w:rsidRPr="00CF41E7">
              <w:rPr>
                <w:b/>
                <w:color w:val="2E74B5" w:themeColor="accent5" w:themeShade="BF"/>
                <w:sz w:val="20"/>
                <w:szCs w:val="20"/>
              </w:rPr>
              <w:t>EDUCATIONAL LEADERSHIP</w:t>
            </w:r>
          </w:p>
        </w:tc>
        <w:tc>
          <w:tcPr>
            <w:tcW w:w="5677" w:type="dxa"/>
            <w:vAlign w:val="center"/>
          </w:tcPr>
          <w:p w14:paraId="429DFBC0" w14:textId="77777777" w:rsidR="00161024" w:rsidRPr="0094596E" w:rsidRDefault="00161024" w:rsidP="005F669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66" w:hanging="180"/>
              <w:rPr>
                <w:b/>
                <w:bCs/>
                <w:sz w:val="20"/>
                <w:szCs w:val="20"/>
              </w:rPr>
            </w:pPr>
            <w:r w:rsidRPr="0094596E">
              <w:rPr>
                <w:b/>
                <w:bCs/>
                <w:sz w:val="20"/>
                <w:szCs w:val="20"/>
              </w:rPr>
              <w:t>Dr. Abul Pitre (Chair) – apitre@uncfsu.edu</w:t>
            </w:r>
          </w:p>
          <w:p w14:paraId="41CFBB68" w14:textId="77777777" w:rsidR="00161024" w:rsidRPr="0094596E" w:rsidRDefault="00161024" w:rsidP="005F669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66" w:hanging="180"/>
              <w:rPr>
                <w:b/>
                <w:bCs/>
                <w:sz w:val="20"/>
                <w:szCs w:val="20"/>
              </w:rPr>
            </w:pPr>
            <w:r w:rsidRPr="0094596E">
              <w:rPr>
                <w:b/>
                <w:bCs/>
                <w:sz w:val="20"/>
                <w:szCs w:val="20"/>
              </w:rPr>
              <w:t>Dr. Miriam Chitiga (Asst. Chair) – mchitiga@uncfsu.edu</w:t>
            </w:r>
          </w:p>
          <w:p w14:paraId="595569A2" w14:textId="77777777" w:rsidR="00161024" w:rsidRPr="0094596E" w:rsidRDefault="00161024" w:rsidP="005F669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66" w:hanging="180"/>
              <w:rPr>
                <w:sz w:val="20"/>
                <w:szCs w:val="20"/>
              </w:rPr>
            </w:pPr>
            <w:r w:rsidRPr="0094596E">
              <w:rPr>
                <w:sz w:val="20"/>
                <w:szCs w:val="20"/>
              </w:rPr>
              <w:t>Mrs. Coneasha Thomas (Admin) – cthomas@uncfsu.edu</w:t>
            </w:r>
          </w:p>
        </w:tc>
        <w:tc>
          <w:tcPr>
            <w:tcW w:w="1608" w:type="dxa"/>
            <w:vAlign w:val="center"/>
          </w:tcPr>
          <w:p w14:paraId="3CC2586C" w14:textId="77777777" w:rsidR="00161024" w:rsidRPr="00CF41E7" w:rsidRDefault="00161024" w:rsidP="005F6696">
            <w:pPr>
              <w:rPr>
                <w:sz w:val="20"/>
                <w:szCs w:val="20"/>
              </w:rPr>
            </w:pPr>
            <w:r w:rsidRPr="00CF41E7">
              <w:rPr>
                <w:sz w:val="20"/>
                <w:szCs w:val="20"/>
              </w:rPr>
              <w:t>910-672-1275</w:t>
            </w:r>
          </w:p>
          <w:p w14:paraId="06C708A5" w14:textId="77777777" w:rsidR="00161024" w:rsidRPr="00CF41E7" w:rsidRDefault="00161024" w:rsidP="005F6696">
            <w:pPr>
              <w:rPr>
                <w:sz w:val="20"/>
                <w:szCs w:val="20"/>
              </w:rPr>
            </w:pPr>
            <w:r w:rsidRPr="00CF41E7">
              <w:rPr>
                <w:sz w:val="20"/>
                <w:szCs w:val="20"/>
              </w:rPr>
              <w:t>910-672-1646</w:t>
            </w:r>
          </w:p>
          <w:p w14:paraId="1CA35A84" w14:textId="77777777" w:rsidR="00161024" w:rsidRDefault="00161024" w:rsidP="005F6696">
            <w:pPr>
              <w:rPr>
                <w:sz w:val="20"/>
                <w:szCs w:val="20"/>
              </w:rPr>
            </w:pPr>
            <w:r w:rsidRPr="00CF41E7">
              <w:rPr>
                <w:sz w:val="20"/>
                <w:szCs w:val="20"/>
              </w:rPr>
              <w:t>910-672-1731</w:t>
            </w:r>
          </w:p>
          <w:p w14:paraId="41D432C0" w14:textId="77777777" w:rsidR="00161024" w:rsidRPr="00CF41E7" w:rsidRDefault="00161024" w:rsidP="005F6696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04ABBD74" w14:textId="77777777" w:rsidR="00161024" w:rsidRPr="00CF41E7" w:rsidRDefault="00161024" w:rsidP="005F6696">
            <w:pPr>
              <w:rPr>
                <w:sz w:val="20"/>
                <w:szCs w:val="20"/>
              </w:rPr>
            </w:pPr>
            <w:r w:rsidRPr="00CF41E7">
              <w:rPr>
                <w:sz w:val="20"/>
                <w:szCs w:val="20"/>
              </w:rPr>
              <w:t>Butler Bldg. Room 340/253</w:t>
            </w:r>
          </w:p>
        </w:tc>
      </w:tr>
    </w:tbl>
    <w:p w14:paraId="0E0AD2FB" w14:textId="55835DA2" w:rsidR="00C108B7" w:rsidRDefault="00C108B7" w:rsidP="00161024"/>
    <w:sectPr w:rsidR="00C108B7" w:rsidSect="0016102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0D14"/>
    <w:multiLevelType w:val="multilevel"/>
    <w:tmpl w:val="E1A8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E3B79"/>
    <w:multiLevelType w:val="hybridMultilevel"/>
    <w:tmpl w:val="B088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00135"/>
    <w:multiLevelType w:val="multilevel"/>
    <w:tmpl w:val="C5E4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E246F"/>
    <w:multiLevelType w:val="multilevel"/>
    <w:tmpl w:val="C5E4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7D3760"/>
    <w:multiLevelType w:val="multilevel"/>
    <w:tmpl w:val="215E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F3"/>
    <w:rsid w:val="00014425"/>
    <w:rsid w:val="0001445B"/>
    <w:rsid w:val="0005176E"/>
    <w:rsid w:val="000D2927"/>
    <w:rsid w:val="00161024"/>
    <w:rsid w:val="00184CF3"/>
    <w:rsid w:val="00263A56"/>
    <w:rsid w:val="002E473B"/>
    <w:rsid w:val="00390E8D"/>
    <w:rsid w:val="0039359A"/>
    <w:rsid w:val="00432911"/>
    <w:rsid w:val="00471027"/>
    <w:rsid w:val="004B4424"/>
    <w:rsid w:val="005426AA"/>
    <w:rsid w:val="005F6696"/>
    <w:rsid w:val="00731CF6"/>
    <w:rsid w:val="007507C8"/>
    <w:rsid w:val="007753EF"/>
    <w:rsid w:val="007F0417"/>
    <w:rsid w:val="0082612C"/>
    <w:rsid w:val="008D2EF3"/>
    <w:rsid w:val="008E2CBB"/>
    <w:rsid w:val="0095509A"/>
    <w:rsid w:val="00960BC1"/>
    <w:rsid w:val="00A3014A"/>
    <w:rsid w:val="00A61054"/>
    <w:rsid w:val="00B036E0"/>
    <w:rsid w:val="00B754FE"/>
    <w:rsid w:val="00BC07FA"/>
    <w:rsid w:val="00BF64C5"/>
    <w:rsid w:val="00C108B7"/>
    <w:rsid w:val="00C406A6"/>
    <w:rsid w:val="00CF41E7"/>
    <w:rsid w:val="00D074B0"/>
    <w:rsid w:val="00D331A0"/>
    <w:rsid w:val="00EB547B"/>
    <w:rsid w:val="00F32DE2"/>
    <w:rsid w:val="00F36A58"/>
    <w:rsid w:val="00F50F7B"/>
    <w:rsid w:val="00F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2EFA"/>
  <w15:chartTrackingRefBased/>
  <w15:docId w15:val="{388B798A-D5ED-4B09-9C24-78FCCF5F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CF3"/>
    <w:pPr>
      <w:ind w:left="720"/>
      <w:contextualSpacing/>
    </w:pPr>
  </w:style>
  <w:style w:type="table" w:styleId="TableGrid">
    <w:name w:val="Table Grid"/>
    <w:basedOn w:val="TableNormal"/>
    <w:uiPriority w:val="39"/>
    <w:rsid w:val="00F77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C657D09CB2248B82B16FD72D206C4" ma:contentTypeVersion="14" ma:contentTypeDescription="Create a new document." ma:contentTypeScope="" ma:versionID="1f0f38e58ab163493e05cff311a8cab7">
  <xsd:schema xmlns:xsd="http://www.w3.org/2001/XMLSchema" xmlns:xs="http://www.w3.org/2001/XMLSchema" xmlns:p="http://schemas.microsoft.com/office/2006/metadata/properties" xmlns:ns1="http://schemas.microsoft.com/sharepoint/v3" xmlns:ns3="e57419f6-b83a-4806-8b0a-5ca5fe026d06" xmlns:ns4="b246c2ca-951b-42ff-b498-666232a9ded3" targetNamespace="http://schemas.microsoft.com/office/2006/metadata/properties" ma:root="true" ma:fieldsID="63af66d8f92ed68a5aa0f9f88dc125d9" ns1:_="" ns3:_="" ns4:_="">
    <xsd:import namespace="http://schemas.microsoft.com/sharepoint/v3"/>
    <xsd:import namespace="e57419f6-b83a-4806-8b0a-5ca5fe026d06"/>
    <xsd:import namespace="b246c2ca-951b-42ff-b498-666232a9ded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419f6-b83a-4806-8b0a-5ca5fe026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c2ca-951b-42ff-b498-666232a9d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98958-8FA9-436E-850F-A03F76CFB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419f6-b83a-4806-8b0a-5ca5fe026d06"/>
    <ds:schemaRef ds:uri="b246c2ca-951b-42ff-b498-666232a9d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61B13-E5F3-4D16-98EF-CD23A1695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10746-0EC2-47D7-96E2-14A3CDCAA7A6}">
  <ds:schemaRefs>
    <ds:schemaRef ds:uri="http://purl.org/dc/elements/1.1/"/>
    <ds:schemaRef ds:uri="http://schemas.microsoft.com/office/2006/metadata/properties"/>
    <ds:schemaRef ds:uri="http://purl.org/dc/terms/"/>
    <ds:schemaRef ds:uri="b246c2ca-951b-42ff-b498-666232a9ded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57419f6-b83a-4806-8b0a-5ca5fe026d06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926C1F1-7013-4F58-B9CE-CD6FEBDE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Kathleen</dc:creator>
  <cp:keywords/>
  <dc:description/>
  <cp:lastModifiedBy>Marsh, Kathleen</cp:lastModifiedBy>
  <cp:revision>2</cp:revision>
  <dcterms:created xsi:type="dcterms:W3CDTF">2021-01-21T22:08:00Z</dcterms:created>
  <dcterms:modified xsi:type="dcterms:W3CDTF">2021-01-21T22:08:00Z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0x010100CE9C657D09CB2248B82B16FD72D206C4</vt:lpwstr>
  </property>
</Properties>
</file>